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contextualSpacing w:val="1"/>
        <w:jc w:val="center"/>
      </w:pPr>
    </w:p>
    <w:p w14:paraId="02000000">
      <w:pPr>
        <w:widowControl w:val="1"/>
        <w:ind/>
        <w:contextualSpacing w:val="1"/>
        <w:jc w:val="center"/>
        <w:rPr>
          <w:sz w:val="10"/>
        </w:rPr>
      </w:pPr>
    </w:p>
    <w:tbl>
      <w:tblPr>
        <w:tblStyle w:val="Style_1"/>
        <w:tblW w:type="auto" w:w="0"/>
        <w:tblInd w:type="dxa" w:w="108"/>
        <w:tblBorders>
          <w:top w:color="000000" w:sz="4" w:val="single"/>
          <w:bottom w:color="000000" w:sz="4" w:val="single"/>
        </w:tblBorders>
        <w:tblLayout w:type="fixed"/>
      </w:tblPr>
      <w:tblGrid>
        <w:gridCol w:w="9711"/>
      </w:tblGrid>
      <w:tr>
        <w:tc>
          <w:tcPr>
            <w:tcW w:type="dxa" w:w="9711"/>
            <w:tcBorders>
              <w:top w:color="000000" w:sz="18" w:val="single"/>
              <w:bottom w:color="000000" w:sz="18" w:val="single"/>
            </w:tcBorders>
          </w:tcPr>
          <w:p w14:paraId="03000000">
            <w:pPr>
              <w:widowControl w:val="1"/>
              <w:ind/>
              <w:contextualSpacing w:val="1"/>
              <w:jc w:val="center"/>
              <w:rPr>
                <w:spacing w:val="-4"/>
                <w:sz w:val="20"/>
              </w:rPr>
            </w:pPr>
          </w:p>
          <w:p w14:paraId="04000000">
            <w:pPr>
              <w:widowControl w:val="1"/>
              <w:ind/>
              <w:contextualSpacing w:val="1"/>
              <w:jc w:val="center"/>
              <w:rPr>
                <w:b w:val="1"/>
                <w:spacing w:val="8"/>
              </w:rPr>
            </w:pPr>
            <w:r>
              <w:rPr>
                <w:b w:val="1"/>
                <w:spacing w:val="-4"/>
                <w:sz w:val="56"/>
              </w:rPr>
              <w:t xml:space="preserve">П Р О К У Р А Т У Р А </w:t>
            </w:r>
          </w:p>
          <w:p w14:paraId="05000000">
            <w:pPr>
              <w:widowControl w:val="1"/>
              <w:ind/>
              <w:contextualSpacing w:val="1"/>
              <w:jc w:val="center"/>
              <w:rPr>
                <w:b w:val="1"/>
                <w:spacing w:val="8"/>
              </w:rPr>
            </w:pPr>
            <w:r>
              <w:rPr>
                <w:b w:val="1"/>
                <w:spacing w:val="8"/>
              </w:rPr>
              <w:t>города Нижневартовска</w:t>
            </w:r>
          </w:p>
          <w:p w14:paraId="06000000">
            <w:pPr>
              <w:widowControl w:val="1"/>
              <w:ind/>
              <w:contextualSpacing w:val="1"/>
              <w:jc w:val="center"/>
              <w:rPr>
                <w:sz w:val="20"/>
              </w:rPr>
            </w:pPr>
          </w:p>
        </w:tc>
      </w:tr>
    </w:tbl>
    <w:p w14:paraId="07000000">
      <w:pPr>
        <w:widowControl w:val="1"/>
        <w:spacing w:line="240" w:lineRule="exact"/>
        <w:ind/>
        <w:jc w:val="both"/>
        <w:rPr>
          <w:b w:val="1"/>
        </w:rPr>
      </w:pPr>
    </w:p>
    <w:p w14:paraId="08000000">
      <w:pPr>
        <w:widowControl w:val="1"/>
        <w:ind w:firstLine="709"/>
        <w:jc w:val="center"/>
        <w:rPr>
          <w:b w:val="1"/>
        </w:rPr>
      </w:pPr>
    </w:p>
    <w:p w14:paraId="09000000">
      <w:pPr>
        <w:widowControl w:val="1"/>
        <w:ind/>
        <w:jc w:val="center"/>
        <w:rPr>
          <w:b w:val="1"/>
          <w:color w:themeColor="text1" w:val="000000"/>
        </w:rPr>
      </w:pPr>
      <w:r>
        <w:rPr>
          <w:b w:val="1"/>
          <w:color w:themeColor="text1" w:val="000000"/>
        </w:rPr>
        <w:t>Правила удержания</w:t>
      </w:r>
      <w:r>
        <w:rPr>
          <w:b w:val="1"/>
          <w:color w:themeColor="text1" w:val="000000"/>
        </w:rPr>
        <w:t xml:space="preserve"> банком</w:t>
      </w:r>
      <w:r>
        <w:rPr>
          <w:b w:val="1"/>
          <w:color w:themeColor="text1" w:val="000000"/>
        </w:rPr>
        <w:t xml:space="preserve"> денежных средств на основании поступившего  исполнительного документа</w:t>
      </w:r>
    </w:p>
    <w:p w14:paraId="0A000000">
      <w:pPr>
        <w:widowControl w:val="1"/>
        <w:ind/>
        <w:jc w:val="both"/>
        <w:rPr>
          <w:b w:val="1"/>
          <w:color w:themeColor="text1" w:val="000000"/>
        </w:rPr>
      </w:pPr>
    </w:p>
    <w:p w14:paraId="0B000000">
      <w:pPr>
        <w:widowControl w:val="1"/>
        <w:ind w:firstLine="709"/>
        <w:jc w:val="both"/>
        <w:rPr>
          <w:color w:themeColor="text1" w:val="000000"/>
        </w:rPr>
      </w:pPr>
      <w:r>
        <w:rPr>
          <w:color w:themeColor="text1" w:val="000000"/>
        </w:rPr>
        <w:t>В случаях, предусмотренных Федеральным законом от 02.10.2007 № 229-ФЗ «Об исполнительном производстве», требования, содержащиеся в судебных актах, актах других органов и должностных лиц, исполняются самостоятельно органами, организациями, в том числе государственными органами, органами местного самоуправления, банками и иными кредитными организациями, должностными лицами и гражданами.</w:t>
      </w:r>
    </w:p>
    <w:p w14:paraId="0C000000">
      <w:pPr>
        <w:widowControl w:val="1"/>
        <w:ind w:firstLine="709"/>
        <w:jc w:val="both"/>
        <w:rPr>
          <w:color w:themeColor="text1" w:val="000000"/>
        </w:rPr>
      </w:pPr>
      <w:r>
        <w:rPr>
          <w:color w:themeColor="text1" w:val="000000"/>
        </w:rPr>
        <w:t>Исполнительный документ о взыскании денежных средств или об их аресте может быть направлен в банк или иную кредитную организацию непосредственно взыскателем. В свою очередь, банк или иная кредитная организация, осуществляющие обслуживание счетов должника, незамедлительно исполняют содержащиеся в исполнительном документе или постановлении судебного пристава-исполнителя требования о взыскании денежных средств, о чем в течение 3 дней со дня их исполнения информируют взыскателя или судебного пристава-исполнителя.</w:t>
      </w:r>
    </w:p>
    <w:p w14:paraId="0D000000">
      <w:pPr>
        <w:widowControl w:val="1"/>
        <w:ind w:firstLine="709"/>
        <w:jc w:val="both"/>
        <w:rPr>
          <w:color w:themeColor="text1" w:val="000000"/>
        </w:rPr>
      </w:pPr>
      <w:r>
        <w:rPr>
          <w:color w:themeColor="text1" w:val="000000"/>
        </w:rPr>
        <w:t xml:space="preserve">Если имеющихся на счетах должника денежных средств недостаточно для </w:t>
      </w:r>
      <w:r>
        <w:rPr>
          <w:color w:themeColor="text1" w:val="000000"/>
        </w:rPr>
        <w:t>исполнения</w:t>
      </w:r>
      <w:r>
        <w:rPr>
          <w:color w:themeColor="text1" w:val="000000"/>
        </w:rPr>
        <w:t xml:space="preserve"> содержащихся в исполнительном документе требований, банк перечисляет имеющиеся средства и продолжает дальнейшее исполнение по мере поступления денежных средств на счет или счета должника до исполнения содержащихся в исполнительном документе требований в полном объеме.</w:t>
      </w:r>
    </w:p>
    <w:p w14:paraId="0E000000">
      <w:pPr>
        <w:widowControl w:val="1"/>
        <w:ind w:firstLine="709"/>
        <w:jc w:val="both"/>
        <w:rPr>
          <w:color w:themeColor="text1" w:val="000000"/>
        </w:rPr>
      </w:pPr>
      <w:r>
        <w:rPr>
          <w:color w:themeColor="text1" w:val="000000"/>
        </w:rPr>
        <w:t>О произведенных перечислениях банк незамедлительно сообщает взыскателю.</w:t>
      </w:r>
    </w:p>
    <w:p w14:paraId="0F000000">
      <w:pPr>
        <w:widowControl w:val="1"/>
        <w:ind/>
        <w:jc w:val="both"/>
        <w:rPr>
          <w:b w:val="1"/>
          <w:color w:themeColor="text1" w:val="000000"/>
        </w:rPr>
      </w:pPr>
    </w:p>
    <w:p w14:paraId="10000000">
      <w:pPr>
        <w:widowControl w:val="1"/>
        <w:ind/>
        <w:jc w:val="both"/>
      </w:pPr>
    </w:p>
    <w:p w14:paraId="11000000">
      <w:pPr>
        <w:widowControl w:val="1"/>
        <w:ind/>
        <w:jc w:val="both"/>
      </w:pPr>
      <w:r>
        <w:t xml:space="preserve">Пресс-служба </w:t>
      </w:r>
    </w:p>
    <w:p w14:paraId="12000000">
      <w:pPr>
        <w:widowControl w:val="1"/>
        <w:ind/>
        <w:jc w:val="both"/>
      </w:pPr>
      <w:r>
        <w:t>Прокуратуры г. Нижневартовска</w:t>
      </w:r>
    </w:p>
    <w:p w14:paraId="13000000">
      <w:pPr>
        <w:widowControl w:val="1"/>
        <w:ind/>
        <w:jc w:val="both"/>
        <w:rPr>
          <w:b w:val="1"/>
          <w:sz w:val="20"/>
        </w:rPr>
      </w:pPr>
      <w:r>
        <w:rPr>
          <w:b w:val="1"/>
          <w:sz w:val="20"/>
        </w:rPr>
        <w:t>При использовании указанной информации ссылка на прокуратуру города Нижневартовска является обязательной. При освещении информации в теле-, радиоэфирах необходимо направлять эфирные справки (количество эфиров с учетом повторов) по адресу прокуратуры города: ХМАО-Югра, г. Нижневартовск, ул. Мусы Джалиля, д. 14, 628602</w:t>
      </w:r>
    </w:p>
    <w:p w14:paraId="14000000">
      <w:pPr>
        <w:widowControl w:val="1"/>
        <w:spacing w:line="240" w:lineRule="exact"/>
        <w:ind/>
        <w:jc w:val="both"/>
        <w:rPr>
          <w:b w:val="1"/>
        </w:rPr>
      </w:pPr>
    </w:p>
    <w:p w14:paraId="15000000">
      <w:pPr>
        <w:widowControl w:val="1"/>
        <w:spacing w:line="240" w:lineRule="exact"/>
        <w:ind/>
        <w:jc w:val="both"/>
        <w:rPr>
          <w:b w:val="1"/>
        </w:rPr>
      </w:pPr>
      <w:r>
        <w:rPr>
          <w:b w:val="1"/>
        </w:rPr>
        <w:t>СОГЛАСОВАНО:</w:t>
      </w:r>
    </w:p>
    <w:p w14:paraId="16000000">
      <w:pPr>
        <w:widowControl w:val="1"/>
        <w:spacing w:line="240" w:lineRule="exact"/>
        <w:ind/>
        <w:jc w:val="both"/>
        <w:rPr>
          <w:b w:val="1"/>
          <w:sz w:val="20"/>
        </w:rPr>
      </w:pPr>
    </w:p>
    <w:p w14:paraId="17000000">
      <w:pPr>
        <w:widowControl w:val="1"/>
        <w:spacing w:line="240" w:lineRule="exact"/>
        <w:ind/>
        <w:jc w:val="both"/>
        <w:rPr>
          <w:b w:val="1"/>
          <w:sz w:val="20"/>
        </w:rPr>
      </w:pPr>
      <w:r>
        <w:rPr>
          <w:b w:val="1"/>
          <w:sz w:val="20"/>
        </w:rPr>
        <w:t xml:space="preserve"> </w:t>
      </w:r>
      <w:r>
        <w:t xml:space="preserve">Прокурор города                                                                             </w:t>
      </w:r>
      <w:r>
        <w:tab/>
      </w:r>
      <w:r>
        <w:t xml:space="preserve">     А.В. Еременко</w:t>
      </w:r>
    </w:p>
    <w:p w14:paraId="18000000">
      <w:pPr>
        <w:rPr>
          <w:sz w:val="20"/>
        </w:rPr>
      </w:pPr>
    </w:p>
    <w:p w14:paraId="19000000">
      <w:pPr>
        <w:rPr>
          <w:sz w:val="20"/>
        </w:rPr>
      </w:pPr>
    </w:p>
    <w:p w14:paraId="1A000000">
      <w:pPr>
        <w:rPr>
          <w:sz w:val="20"/>
        </w:rPr>
      </w:pPr>
    </w:p>
    <w:p w14:paraId="1B000000">
      <w:pPr>
        <w:rPr>
          <w:sz w:val="20"/>
        </w:rPr>
      </w:pPr>
    </w:p>
    <w:p w14:paraId="1C000000">
      <w:pPr>
        <w:rPr>
          <w:sz w:val="20"/>
        </w:rPr>
      </w:pPr>
    </w:p>
    <w:p w14:paraId="1D000000">
      <w:pPr>
        <w:rPr>
          <w:sz w:val="20"/>
        </w:rPr>
      </w:pPr>
      <w:bookmarkStart w:id="1" w:name="_GoBack"/>
      <w:bookmarkEnd w:id="1"/>
      <w:r>
        <w:rPr>
          <w:sz w:val="20"/>
        </w:rPr>
        <w:t xml:space="preserve">Д.О. </w:t>
      </w:r>
      <w:r>
        <w:rPr>
          <w:sz w:val="20"/>
        </w:rPr>
        <w:t>Колосницын</w:t>
      </w:r>
      <w:r>
        <w:rPr>
          <w:sz w:val="20"/>
        </w:rPr>
        <w:t>, тел. 49-89-19</w:t>
      </w:r>
    </w:p>
    <w:sectPr>
      <w:pgSz w:h="16838" w:orient="portrait" w:w="11906"/>
      <w:pgMar w:bottom="1276" w:footer="709" w:gutter="0" w:header="709" w:left="1418" w:right="567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rFonts w:ascii="Times New Roman" w:hAnsi="Times New Roman"/>
      <w:sz w:val="28"/>
    </w:rPr>
  </w:style>
  <w:style w:default="1" w:styleId="Style_2_ch" w:type="character">
    <w:name w:val="Normal"/>
    <w:link w:val="Style_2"/>
    <w:rPr>
      <w:rFonts w:ascii="Times New Roman" w:hAnsi="Times New Roman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left="1000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left="1200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Основной шрифт абзаца1"/>
    <w:link w:val="Style_9_ch"/>
  </w:style>
  <w:style w:styleId="Style_9_ch" w:type="character">
    <w:name w:val="Основной шрифт абзаца1"/>
    <w:link w:val="Style_9"/>
  </w:style>
  <w:style w:styleId="Style_10" w:type="paragraph">
    <w:name w:val="toc 3"/>
    <w:next w:val="Style_2"/>
    <w:link w:val="Style_10_ch"/>
    <w:uiPriority w:val="39"/>
    <w:pPr>
      <w:widowControl w:val="1"/>
      <w:ind w:left="400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No Spacing"/>
    <w:link w:val="Style_11_ch"/>
    <w:rPr>
      <w:sz w:val="22"/>
    </w:rPr>
  </w:style>
  <w:style w:styleId="Style_11_ch" w:type="character">
    <w:name w:val="No Spacing"/>
    <w:link w:val="Style_11"/>
    <w:rPr>
      <w:sz w:val="22"/>
    </w:rPr>
  </w:style>
  <w:style w:styleId="Style_12" w:type="paragraph">
    <w:name w:val="heading 5"/>
    <w:next w:val="Style_2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basedOn w:val="Style_2"/>
    <w:link w:val="Style_13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13_ch" w:type="character">
    <w:name w:val="heading 1"/>
    <w:basedOn w:val="Style_2_ch"/>
    <w:link w:val="Style_13"/>
    <w:rPr>
      <w:b w:val="1"/>
      <w:sz w:val="48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List Paragraph"/>
    <w:basedOn w:val="Style_2"/>
    <w:link w:val="Style_18_ch"/>
    <w:pPr>
      <w:widowControl w:val="1"/>
      <w:spacing w:after="200" w:line="276" w:lineRule="auto"/>
      <w:ind w:left="720"/>
      <w:contextualSpacing w:val="1"/>
    </w:pPr>
    <w:rPr>
      <w:rFonts w:asciiTheme="minorAscii" w:hAnsiTheme="minorHAnsi"/>
      <w:sz w:val="22"/>
    </w:rPr>
  </w:style>
  <w:style w:styleId="Style_18_ch" w:type="character">
    <w:name w:val="List Paragraph"/>
    <w:basedOn w:val="Style_2_ch"/>
    <w:link w:val="Style_18"/>
    <w:rPr>
      <w:rFonts w:asciiTheme="minorAscii" w:hAnsiTheme="minorHAnsi"/>
      <w:sz w:val="22"/>
    </w:rPr>
  </w:style>
  <w:style w:styleId="Style_19" w:type="paragraph">
    <w:name w:val="Обычный1"/>
    <w:link w:val="Style_19_ch"/>
    <w:rPr>
      <w:rFonts w:ascii="Times New Roman" w:hAnsi="Times New Roman"/>
      <w:sz w:val="28"/>
    </w:rPr>
  </w:style>
  <w:style w:styleId="Style_19_ch" w:type="character">
    <w:name w:val="Обычный1"/>
    <w:link w:val="Style_19"/>
    <w:rPr>
      <w:rFonts w:ascii="Times New Roman" w:hAnsi="Times New Roman"/>
      <w:sz w:val="28"/>
    </w:rPr>
  </w:style>
  <w:style w:styleId="Style_20" w:type="paragraph">
    <w:name w:val="toc 9"/>
    <w:next w:val="Style_2"/>
    <w:link w:val="Style_20_ch"/>
    <w:uiPriority w:val="39"/>
    <w:pPr>
      <w:widowControl w:val="1"/>
      <w:ind w:left="1600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Normal (Web)"/>
    <w:basedOn w:val="Style_2"/>
    <w:link w:val="Style_21_ch"/>
    <w:pPr>
      <w:widowControl w:val="1"/>
      <w:spacing w:afterAutospacing="on" w:beforeAutospacing="on"/>
      <w:ind/>
    </w:pPr>
    <w:rPr>
      <w:sz w:val="24"/>
    </w:rPr>
  </w:style>
  <w:style w:styleId="Style_21_ch" w:type="character">
    <w:name w:val="Normal (Web)"/>
    <w:basedOn w:val="Style_2_ch"/>
    <w:link w:val="Style_21"/>
    <w:rPr>
      <w:sz w:val="24"/>
    </w:rPr>
  </w:style>
  <w:style w:styleId="Style_22" w:type="paragraph">
    <w:name w:val="Body Text 3"/>
    <w:basedOn w:val="Style_2"/>
    <w:link w:val="Style_22_ch"/>
    <w:pPr>
      <w:widowControl w:val="1"/>
      <w:spacing w:after="120"/>
      <w:ind/>
    </w:pPr>
    <w:rPr>
      <w:sz w:val="16"/>
    </w:rPr>
  </w:style>
  <w:style w:styleId="Style_22_ch" w:type="character">
    <w:name w:val="Body Text 3"/>
    <w:basedOn w:val="Style_2_ch"/>
    <w:link w:val="Style_22"/>
    <w:rPr>
      <w:sz w:val="16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toc 8"/>
    <w:next w:val="Style_2"/>
    <w:link w:val="Style_24_ch"/>
    <w:uiPriority w:val="39"/>
    <w:pPr>
      <w:widowControl w:val="1"/>
      <w:ind w:left="1400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Balloon Text"/>
    <w:basedOn w:val="Style_2"/>
    <w:link w:val="Style_25_ch"/>
    <w:rPr>
      <w:rFonts w:ascii="Segoe UI" w:hAnsi="Segoe UI"/>
      <w:sz w:val="18"/>
    </w:rPr>
  </w:style>
  <w:style w:styleId="Style_25_ch" w:type="character">
    <w:name w:val="Balloon Text"/>
    <w:basedOn w:val="Style_2_ch"/>
    <w:link w:val="Style_25"/>
    <w:rPr>
      <w:rFonts w:ascii="Segoe UI" w:hAnsi="Segoe UI"/>
      <w:sz w:val="18"/>
    </w:rPr>
  </w:style>
  <w:style w:styleId="Style_26" w:type="paragraph">
    <w:name w:val="Основной текст2"/>
    <w:basedOn w:val="Style_2"/>
    <w:link w:val="Style_26_ch"/>
    <w:pPr>
      <w:widowControl w:val="1"/>
      <w:spacing w:line="245" w:lineRule="exact"/>
      <w:ind/>
    </w:pPr>
    <w:rPr>
      <w:rFonts w:ascii="Sylfaen" w:hAnsi="Sylfaen"/>
      <w:sz w:val="25"/>
    </w:rPr>
  </w:style>
  <w:style w:styleId="Style_26_ch" w:type="character">
    <w:name w:val="Основной текст2"/>
    <w:basedOn w:val="Style_2_ch"/>
    <w:link w:val="Style_26"/>
    <w:rPr>
      <w:rFonts w:ascii="Sylfaen" w:hAnsi="Sylfaen"/>
      <w:sz w:val="25"/>
    </w:rPr>
  </w:style>
  <w:style w:styleId="Style_27" w:type="paragraph">
    <w:name w:val="Гиперссылка1"/>
    <w:link w:val="Style_27_ch"/>
    <w:rPr>
      <w:color w:val="0000FF"/>
      <w:u w:val="single"/>
    </w:rPr>
  </w:style>
  <w:style w:styleId="Style_27_ch" w:type="character">
    <w:name w:val="Гиперссылка1"/>
    <w:link w:val="Style_27"/>
    <w:rPr>
      <w:color w:val="0000FF"/>
      <w:u w:val="single"/>
    </w:rPr>
  </w:style>
  <w:style w:styleId="Style_28" w:type="paragraph">
    <w:name w:val="toc 5"/>
    <w:next w:val="Style_2"/>
    <w:link w:val="Style_28_ch"/>
    <w:uiPriority w:val="39"/>
    <w:pPr>
      <w:widowControl w:val="1"/>
      <w:ind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2"/>
    <w:link w:val="Style_2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2"/>
    <w:link w:val="Style_3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2"/>
    <w:link w:val="Style_3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2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paragraph">
    <w:name w:val="Body Text Indent"/>
    <w:basedOn w:val="Style_2"/>
    <w:link w:val="Style_33_ch"/>
    <w:pPr>
      <w:widowControl w:val="1"/>
      <w:ind w:firstLine="709"/>
      <w:jc w:val="both"/>
    </w:pPr>
  </w:style>
  <w:style w:styleId="Style_33_ch" w:type="character">
    <w:name w:val="Body Text Indent"/>
    <w:basedOn w:val="Style_2_ch"/>
    <w:link w:val="Style_33"/>
  </w:style>
  <w:style w:styleId="Style_34" w:type="paragraph">
    <w:name w:val="feeds-page__navigation_tooltip"/>
    <w:basedOn w:val="Style_9"/>
    <w:link w:val="Style_34_ch"/>
  </w:style>
  <w:style w:styleId="Style_34_ch" w:type="character">
    <w:name w:val="feeds-page__navigation_tooltip"/>
    <w:basedOn w:val="Style_9_ch"/>
    <w:link w:val="Style_34"/>
  </w:style>
  <w:style w:styleId="Style_35" w:type="table">
    <w:name w:val="Table Grid"/>
    <w:basedOn w:val="Style_1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2024-04-14T21:32:00Z</dcterms:created>
  <dcterms:modified xsi:type="dcterms:W3CDTF">2026-10-29T05:36:51Z</dcterms:modified>
</cp:coreProperties>
</file>